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1708" w14:textId="77777777" w:rsidR="00A1143A" w:rsidRDefault="00A1143A" w:rsidP="00A1143A">
      <w:pPr>
        <w:pStyle w:val="Title"/>
        <w:jc w:val="left"/>
        <w:rPr>
          <w:rFonts w:ascii="Gill Sans MT" w:hAnsi="Gill Sans MT"/>
          <w:color w:val="0067AC"/>
          <w:sz w:val="28"/>
        </w:rPr>
      </w:pPr>
    </w:p>
    <w:p w14:paraId="41375A42" w14:textId="77777777" w:rsidR="00A1143A" w:rsidRDefault="001801ED" w:rsidP="001801ED">
      <w:pPr>
        <w:pStyle w:val="Title"/>
        <w:jc w:val="right"/>
        <w:rPr>
          <w:rFonts w:ascii="Gill Sans MT" w:hAnsi="Gill Sans MT"/>
          <w:color w:val="0067AC"/>
          <w:sz w:val="28"/>
        </w:rPr>
      </w:pPr>
      <w:r>
        <w:rPr>
          <w:noProof/>
        </w:rPr>
        <w:drawing>
          <wp:inline distT="0" distB="0" distL="0" distR="0" wp14:anchorId="6089344B" wp14:editId="1339244E">
            <wp:extent cx="1460500" cy="730250"/>
            <wp:effectExtent l="0" t="0" r="6350" b="0"/>
            <wp:docPr id="3" name="Picture 3" descr="Cotswold District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tswold District Counci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7357" w14:textId="77777777" w:rsidR="00A1143A" w:rsidRDefault="00A1143A" w:rsidP="00A1143A">
      <w:pPr>
        <w:pStyle w:val="Title"/>
        <w:jc w:val="left"/>
        <w:rPr>
          <w:rFonts w:ascii="Gill Sans MT" w:hAnsi="Gill Sans MT"/>
          <w:color w:val="0067AC"/>
          <w:sz w:val="28"/>
        </w:rPr>
      </w:pPr>
    </w:p>
    <w:p w14:paraId="0AEB9086" w14:textId="11A0FABC" w:rsidR="00A1143A" w:rsidRDefault="009C5A79" w:rsidP="00A1143A">
      <w:pPr>
        <w:pStyle w:val="Title"/>
        <w:jc w:val="left"/>
        <w:rPr>
          <w:rFonts w:ascii="Gill Sans MT" w:hAnsi="Gill Sans MT"/>
          <w:color w:val="0067AC"/>
          <w:sz w:val="28"/>
        </w:rPr>
      </w:pPr>
      <w:r w:rsidRPr="00A1143A">
        <w:rPr>
          <w:rFonts w:ascii="Gill Sans MT" w:hAnsi="Gill Sans MT"/>
          <w:color w:val="0067AC"/>
          <w:sz w:val="28"/>
        </w:rPr>
        <w:t xml:space="preserve">Licensing </w:t>
      </w:r>
      <w:r>
        <w:rPr>
          <w:rFonts w:ascii="Gill Sans MT" w:hAnsi="Gill Sans MT"/>
          <w:color w:val="0067AC"/>
          <w:sz w:val="28"/>
        </w:rPr>
        <w:t>A</w:t>
      </w:r>
      <w:r w:rsidRPr="00A1143A">
        <w:rPr>
          <w:rFonts w:ascii="Gill Sans MT" w:hAnsi="Gill Sans MT"/>
          <w:color w:val="0067AC"/>
          <w:sz w:val="28"/>
        </w:rPr>
        <w:t>ct 2003</w:t>
      </w:r>
    </w:p>
    <w:p w14:paraId="0A1415D6" w14:textId="17CA8626" w:rsidR="00A80206" w:rsidRPr="009C5A79" w:rsidRDefault="009C5A79" w:rsidP="009C5A79">
      <w:pPr>
        <w:pStyle w:val="Heading1"/>
      </w:pPr>
      <w:r w:rsidRPr="009C5A79">
        <w:t xml:space="preserve">Fee structure for premises licences </w:t>
      </w:r>
      <w:r>
        <w:t>and</w:t>
      </w:r>
      <w:r w:rsidRPr="009C5A79">
        <w:t xml:space="preserve"> club premises certificates </w:t>
      </w:r>
    </w:p>
    <w:p w14:paraId="3F966C36" w14:textId="77777777" w:rsidR="00A80206" w:rsidRDefault="00A80206" w:rsidP="00A80206">
      <w:pPr>
        <w:jc w:val="center"/>
        <w:rPr>
          <w:rFonts w:ascii="Gill Sans MT" w:hAnsi="Gill Sans MT"/>
          <w:b/>
        </w:rPr>
      </w:pPr>
    </w:p>
    <w:p w14:paraId="08C239AC" w14:textId="77777777" w:rsidR="00A80206" w:rsidRDefault="00A80206" w:rsidP="00A80206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 xml:space="preserve">Fees for all Licensing Act 2003 permissions have been set by Central Government.  The fees are based on the non-domestic rateable value (NDRV) of the premises. </w:t>
      </w:r>
    </w:p>
    <w:p w14:paraId="1E2B3E19" w14:textId="77777777" w:rsidR="00A80206" w:rsidRDefault="00A80206" w:rsidP="00A80206">
      <w:pPr>
        <w:rPr>
          <w:rFonts w:ascii="Gill Sans MT" w:hAnsi="Gill Sans MT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843"/>
        <w:gridCol w:w="1842"/>
        <w:gridCol w:w="1803"/>
        <w:gridCol w:w="1599"/>
      </w:tblGrid>
      <w:tr w:rsidR="00A80206" w14:paraId="4AB007B6" w14:textId="77777777" w:rsidTr="009C5A79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7BFA0AE9" w14:textId="77777777" w:rsidR="00A80206" w:rsidRDefault="00A80206">
            <w:pP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BAND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428197F0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00AE9F71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46276FF1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71FE4BBD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43AC7923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E</w:t>
            </w:r>
          </w:p>
        </w:tc>
      </w:tr>
      <w:tr w:rsidR="00A80206" w14:paraId="74C96C0D" w14:textId="77777777" w:rsidTr="00A802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9C58" w14:textId="77777777" w:rsidR="00A80206" w:rsidRDefault="00A80206">
            <w:pPr>
              <w:rPr>
                <w:rFonts w:ascii="Gill Sans MT" w:hAnsi="Gill Sans M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4"/>
                <w:lang w:val="en-US" w:eastAsia="en-US"/>
              </w:rPr>
              <w:t>Rateable</w:t>
            </w:r>
            <w:proofErr w:type="spellEnd"/>
            <w:r>
              <w:rPr>
                <w:rFonts w:ascii="Gill Sans MT" w:hAnsi="Gill Sans MT"/>
                <w:b/>
                <w:sz w:val="20"/>
                <w:szCs w:val="24"/>
                <w:lang w:val="en-US" w:eastAsia="en-US"/>
              </w:rPr>
              <w:t xml:space="preserve"> value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3E5" w14:textId="77777777" w:rsidR="00A80206" w:rsidRDefault="00A80206">
            <w:pPr>
              <w:rPr>
                <w:rFonts w:ascii="Gill Sans MT" w:hAnsi="Gill Sans MT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 w:cs="Tahoma"/>
                <w:sz w:val="20"/>
                <w:szCs w:val="20"/>
                <w:lang w:val="en-US" w:eastAsia="en-US"/>
              </w:rPr>
              <w:t>£0 - £4300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FF8F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 w:cs="Tahoma"/>
                <w:sz w:val="20"/>
                <w:szCs w:val="20"/>
                <w:lang w:val="en-US" w:eastAsia="en-US"/>
              </w:rPr>
              <w:t>£4,301 – £33,000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E2D9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 w:cs="Tahoma"/>
                <w:sz w:val="20"/>
                <w:szCs w:val="20"/>
                <w:lang w:val="en-US" w:eastAsia="en-US"/>
              </w:rPr>
              <w:t>£33,001 - £87,000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66C4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 w:cs="Tahoma"/>
                <w:sz w:val="20"/>
                <w:szCs w:val="20"/>
                <w:lang w:val="en-US" w:eastAsia="en-US"/>
              </w:rPr>
              <w:t>£87,001 - £125,000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F11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 w:cs="Tahoma"/>
                <w:sz w:val="20"/>
                <w:szCs w:val="20"/>
                <w:lang w:val="en-US" w:eastAsia="en-US"/>
              </w:rPr>
              <w:t>£125,001 and above</w:t>
            </w:r>
          </w:p>
        </w:tc>
      </w:tr>
    </w:tbl>
    <w:p w14:paraId="6E4321FF" w14:textId="77777777" w:rsidR="00A80206" w:rsidRDefault="00A80206" w:rsidP="00A80206">
      <w:pPr>
        <w:rPr>
          <w:rFonts w:ascii="Gill Sans MT" w:hAnsi="Gill Sans MT"/>
        </w:rPr>
      </w:pPr>
    </w:p>
    <w:p w14:paraId="207C3231" w14:textId="6490C870" w:rsidR="00A80206" w:rsidRDefault="009C5A79" w:rsidP="009C5A79">
      <w:pPr>
        <w:pStyle w:val="Heading2"/>
      </w:pPr>
      <w:r w:rsidRPr="009C5A79">
        <w:t>Table</w:t>
      </w:r>
      <w:r>
        <w:t xml:space="preserve"> A.  Premises Licences</w:t>
      </w:r>
    </w:p>
    <w:p w14:paraId="579E53B2" w14:textId="77777777" w:rsidR="00A80206" w:rsidRDefault="00A80206" w:rsidP="00A80206">
      <w:pPr>
        <w:rPr>
          <w:rFonts w:ascii="Gill Sans MT" w:hAnsi="Gill Sans MT"/>
        </w:rPr>
      </w:pPr>
    </w:p>
    <w:p w14:paraId="6FFDC1F5" w14:textId="77777777" w:rsidR="00A80206" w:rsidRDefault="00A80206" w:rsidP="00A80206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The application fees for premises licences are listed in the next table.  There will be a multiplier applied to premises in Bands D and E where they are used exclusively or primarily for the supply of alcohol for consumption on the premises.</w:t>
      </w:r>
    </w:p>
    <w:p w14:paraId="7506BC3A" w14:textId="77777777" w:rsidR="00A80206" w:rsidRDefault="00A80206" w:rsidP="00A80206">
      <w:pPr>
        <w:rPr>
          <w:rFonts w:ascii="Gill Sans MT" w:hAnsi="Gill Sans MT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3375"/>
        <w:gridCol w:w="2309"/>
        <w:gridCol w:w="1600"/>
      </w:tblGrid>
      <w:tr w:rsidR="00A80206" w14:paraId="73A4DB94" w14:textId="77777777" w:rsidTr="009C5A79">
        <w:trPr>
          <w:trHeight w:val="886"/>
          <w:tblHeader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1E6FF063" w14:textId="77777777" w:rsidR="00A80206" w:rsidRDefault="00A80206">
            <w:pP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NDRV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4765CE6C" w14:textId="77777777" w:rsidR="00A80206" w:rsidRDefault="00A80206">
            <w:pP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Band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27ACD183" w14:textId="77777777" w:rsidR="00A80206" w:rsidRDefault="00A80206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New/Variation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2BEE64FC" w14:textId="77777777" w:rsidR="00A80206" w:rsidRDefault="00A80206">
            <w:pP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0"/>
                <w:lang w:val="en-US" w:eastAsia="en-US"/>
              </w:rPr>
              <w:t>Annual Fee</w:t>
            </w:r>
          </w:p>
        </w:tc>
      </w:tr>
      <w:tr w:rsidR="00A80206" w14:paraId="79AC6415" w14:textId="77777777" w:rsidTr="009C5A79">
        <w:trPr>
          <w:trHeight w:val="44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BA46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£0 - £4300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CC80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FF66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F08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£70</w:t>
            </w:r>
          </w:p>
        </w:tc>
      </w:tr>
      <w:tr w:rsidR="00A80206" w14:paraId="007E4EA9" w14:textId="77777777" w:rsidTr="009C5A79">
        <w:trPr>
          <w:trHeight w:val="41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7555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£4,301 - £33,000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9E3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48C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A27B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£180</w:t>
            </w:r>
          </w:p>
        </w:tc>
      </w:tr>
      <w:tr w:rsidR="00A80206" w14:paraId="231510FA" w14:textId="77777777" w:rsidTr="009C5A79">
        <w:trPr>
          <w:trHeight w:val="44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542F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£33,001 - £87,000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37AF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2B26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£315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8B2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£295</w:t>
            </w:r>
          </w:p>
        </w:tc>
      </w:tr>
      <w:tr w:rsidR="00A80206" w14:paraId="1CED71FF" w14:textId="77777777" w:rsidTr="009C5A79">
        <w:trPr>
          <w:trHeight w:val="44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1844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£87,001 - £125,000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38C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2F5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9002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£320</w:t>
            </w:r>
          </w:p>
        </w:tc>
      </w:tr>
      <w:tr w:rsidR="00A80206" w14:paraId="2F7543F4" w14:textId="77777777" w:rsidTr="009C5A79">
        <w:trPr>
          <w:trHeight w:val="44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123C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£87,001 - £125,000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7664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D - Primarily supplying alcohol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B811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2091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£640</w:t>
            </w:r>
          </w:p>
        </w:tc>
      </w:tr>
      <w:tr w:rsidR="00A80206" w14:paraId="57705A02" w14:textId="77777777" w:rsidTr="009C5A79">
        <w:trPr>
          <w:trHeight w:val="44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2FC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£125,001 and above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71FE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EBF2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£635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987B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£350</w:t>
            </w:r>
          </w:p>
        </w:tc>
      </w:tr>
      <w:tr w:rsidR="00A80206" w14:paraId="72A70325" w14:textId="77777777" w:rsidTr="009C5A79">
        <w:trPr>
          <w:trHeight w:val="41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8D4" w14:textId="77777777" w:rsidR="00A80206" w:rsidRDefault="00A80206">
            <w:pPr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£125,001 and above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C849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E – Primarily supplying alcohol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00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£1,905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A6E" w14:textId="77777777" w:rsidR="00A80206" w:rsidRDefault="00A80206">
            <w:pPr>
              <w:jc w:val="center"/>
              <w:rPr>
                <w:rFonts w:ascii="Gill Sans MT" w:hAnsi="Gill Sans MT"/>
                <w:sz w:val="20"/>
                <w:szCs w:val="20"/>
                <w:lang w:val="en-US" w:eastAsia="en-US"/>
              </w:rPr>
            </w:pPr>
            <w:r>
              <w:rPr>
                <w:rFonts w:ascii="Gill Sans MT" w:hAnsi="Gill Sans MT"/>
                <w:sz w:val="20"/>
                <w:szCs w:val="20"/>
                <w:lang w:val="en-US" w:eastAsia="en-US"/>
              </w:rPr>
              <w:t>£1,050</w:t>
            </w:r>
          </w:p>
        </w:tc>
      </w:tr>
    </w:tbl>
    <w:p w14:paraId="0C30A5F2" w14:textId="77777777" w:rsidR="00A80206" w:rsidRDefault="00A80206" w:rsidP="00A80206">
      <w:pPr>
        <w:rPr>
          <w:rFonts w:ascii="Gill Sans MT" w:hAnsi="Gill Sans MT"/>
        </w:rPr>
      </w:pPr>
    </w:p>
    <w:p w14:paraId="415AE000" w14:textId="6DE99BD5" w:rsidR="00A80206" w:rsidRDefault="009C5A79" w:rsidP="009C5A79">
      <w:pPr>
        <w:pStyle w:val="Heading2"/>
      </w:pPr>
      <w:r>
        <w:t>Notes</w:t>
      </w:r>
    </w:p>
    <w:p w14:paraId="5650247C" w14:textId="77777777" w:rsidR="00A80206" w:rsidRDefault="00A80206" w:rsidP="00A80206">
      <w:pPr>
        <w:widowControl/>
        <w:numPr>
          <w:ilvl w:val="0"/>
          <w:numId w:val="1"/>
        </w:numPr>
        <w:autoSpaceDE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Where a </w:t>
      </w:r>
      <w:proofErr w:type="gramStart"/>
      <w:r>
        <w:rPr>
          <w:rFonts w:ascii="Gill Sans MT" w:hAnsi="Gill Sans MT"/>
          <w:sz w:val="20"/>
        </w:rPr>
        <w:t>premises</w:t>
      </w:r>
      <w:proofErr w:type="gramEnd"/>
      <w:r>
        <w:rPr>
          <w:rFonts w:ascii="Gill Sans MT" w:hAnsi="Gill Sans MT"/>
          <w:sz w:val="20"/>
        </w:rPr>
        <w:t xml:space="preserve"> had no rateable value the fee for Band A should be applied, except where a premises is under construction where the fee for Band C should be applied.</w:t>
      </w:r>
    </w:p>
    <w:p w14:paraId="5B9483A2" w14:textId="77777777" w:rsidR="00A80206" w:rsidRDefault="00A80206" w:rsidP="00A80206">
      <w:pPr>
        <w:rPr>
          <w:rFonts w:ascii="Gill Sans MT" w:hAnsi="Gill Sans MT"/>
          <w:sz w:val="20"/>
        </w:rPr>
      </w:pPr>
    </w:p>
    <w:p w14:paraId="6B8ACED7" w14:textId="77777777" w:rsidR="00A80206" w:rsidRDefault="00A80206" w:rsidP="00A80206">
      <w:pPr>
        <w:widowControl/>
        <w:numPr>
          <w:ilvl w:val="0"/>
          <w:numId w:val="1"/>
        </w:numPr>
        <w:autoSpaceDE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Where a </w:t>
      </w:r>
      <w:proofErr w:type="gramStart"/>
      <w:r>
        <w:rPr>
          <w:rFonts w:ascii="Gill Sans MT" w:hAnsi="Gill Sans MT"/>
          <w:sz w:val="20"/>
        </w:rPr>
        <w:t>premises</w:t>
      </w:r>
      <w:proofErr w:type="gramEnd"/>
      <w:r>
        <w:rPr>
          <w:rFonts w:ascii="Gill Sans MT" w:hAnsi="Gill Sans MT"/>
          <w:sz w:val="20"/>
        </w:rPr>
        <w:t xml:space="preserve"> is part of a larger premises then the rateable value for the whole premises should be used to calculate the fee.</w:t>
      </w:r>
    </w:p>
    <w:p w14:paraId="472E0B03" w14:textId="77777777" w:rsidR="00A80206" w:rsidRDefault="00A80206" w:rsidP="00A80206">
      <w:pPr>
        <w:pStyle w:val="ListParagraph"/>
        <w:rPr>
          <w:rFonts w:ascii="Gill Sans MT" w:hAnsi="Gill Sans MT"/>
          <w:sz w:val="20"/>
        </w:rPr>
      </w:pPr>
    </w:p>
    <w:p w14:paraId="4C694423" w14:textId="0A30E5EB" w:rsidR="00A80206" w:rsidRDefault="009C5A79" w:rsidP="009C5A79">
      <w:pPr>
        <w:pStyle w:val="Heading2"/>
      </w:pPr>
      <w:r>
        <w:t>Exemptions</w:t>
      </w:r>
    </w:p>
    <w:p w14:paraId="7D67C894" w14:textId="77777777" w:rsidR="00A80206" w:rsidRDefault="00A80206" w:rsidP="00A80206">
      <w:pPr>
        <w:spacing w:before="1"/>
        <w:ind w:left="3728" w:right="546" w:hanging="3407"/>
        <w:rPr>
          <w:rFonts w:ascii="Gill Sans MT" w:hAnsi="Gill Sans MT"/>
          <w:b/>
        </w:rPr>
      </w:pPr>
    </w:p>
    <w:p w14:paraId="1186DC1D" w14:textId="77777777" w:rsidR="00A80206" w:rsidRDefault="00A80206" w:rsidP="00A80206">
      <w:pPr>
        <w:rPr>
          <w:rFonts w:ascii="Gill Sans MT" w:hAnsi="Gill Sans MT"/>
        </w:rPr>
      </w:pPr>
      <w:r>
        <w:rPr>
          <w:rFonts w:ascii="Gill Sans MT" w:hAnsi="Gill Sans MT"/>
          <w:b/>
        </w:rPr>
        <w:t>The following types of premises are exempt from paying fees if their application relates</w:t>
      </w:r>
      <w:r>
        <w:rPr>
          <w:rFonts w:ascii="Gill Sans MT" w:hAnsi="Gill Sans MT"/>
        </w:rPr>
        <w:t xml:space="preserve"> to the provision of regulated entertainment </w:t>
      </w:r>
      <w:proofErr w:type="gramStart"/>
      <w:r>
        <w:rPr>
          <w:rFonts w:ascii="Gill Sans MT" w:hAnsi="Gill Sans MT"/>
        </w:rPr>
        <w:t>only:-</w:t>
      </w:r>
      <w:proofErr w:type="gramEnd"/>
    </w:p>
    <w:p w14:paraId="7DB7123B" w14:textId="77777777" w:rsidR="00A80206" w:rsidRDefault="00A80206" w:rsidP="00A80206">
      <w:pPr>
        <w:pStyle w:val="BodyText"/>
        <w:spacing w:before="1"/>
        <w:rPr>
          <w:rFonts w:ascii="Gill Sans MT" w:hAnsi="Gill Sans MT"/>
          <w:b/>
          <w:sz w:val="22"/>
        </w:rPr>
      </w:pPr>
    </w:p>
    <w:p w14:paraId="73436F7F" w14:textId="77777777" w:rsidR="00A80206" w:rsidRDefault="00A80206" w:rsidP="00A80206">
      <w:pPr>
        <w:pStyle w:val="ListParagraph"/>
        <w:numPr>
          <w:ilvl w:val="0"/>
          <w:numId w:val="2"/>
        </w:numPr>
        <w:tabs>
          <w:tab w:val="left" w:pos="949"/>
        </w:tabs>
        <w:ind w:right="1472" w:hanging="720"/>
        <w:rPr>
          <w:rFonts w:ascii="Gill Sans MT" w:hAnsi="Gill Sans MT"/>
        </w:rPr>
      </w:pPr>
      <w:r>
        <w:rPr>
          <w:rFonts w:ascii="Gill Sans MT" w:hAnsi="Gill Sans MT"/>
        </w:rPr>
        <w:t xml:space="preserve">church halls, chapel halls or other similar buildings or village halls, parish halls </w:t>
      </w:r>
      <w:r>
        <w:rPr>
          <w:rFonts w:ascii="Gill Sans MT" w:hAnsi="Gill Sans MT"/>
          <w:spacing w:val="2"/>
        </w:rPr>
        <w:t>or</w:t>
      </w:r>
      <w:r>
        <w:rPr>
          <w:rFonts w:ascii="Gill Sans MT" w:hAnsi="Gill Sans MT"/>
          <w:spacing w:val="-30"/>
        </w:rPr>
        <w:t xml:space="preserve"> </w:t>
      </w:r>
      <w:r>
        <w:rPr>
          <w:rFonts w:ascii="Gill Sans MT" w:hAnsi="Gill Sans MT"/>
        </w:rPr>
        <w:t>community halls or other similar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buildings.</w:t>
      </w:r>
    </w:p>
    <w:p w14:paraId="7D1943F5" w14:textId="77777777" w:rsidR="00A80206" w:rsidRDefault="00A80206" w:rsidP="00A80206">
      <w:pPr>
        <w:pStyle w:val="BodyText"/>
        <w:spacing w:before="2"/>
        <w:rPr>
          <w:rFonts w:ascii="Gill Sans MT" w:hAnsi="Gill Sans MT"/>
          <w:sz w:val="22"/>
        </w:rPr>
      </w:pPr>
    </w:p>
    <w:p w14:paraId="4D5112B4" w14:textId="77777777" w:rsidR="00A80206" w:rsidRDefault="00A80206" w:rsidP="00A80206">
      <w:pPr>
        <w:pStyle w:val="ListParagraph"/>
        <w:numPr>
          <w:ilvl w:val="0"/>
          <w:numId w:val="2"/>
        </w:numPr>
        <w:tabs>
          <w:tab w:val="left" w:pos="949"/>
        </w:tabs>
        <w:ind w:right="574" w:hanging="720"/>
        <w:rPr>
          <w:rFonts w:ascii="Gill Sans MT" w:hAnsi="Gill Sans MT"/>
        </w:rPr>
      </w:pPr>
      <w:r>
        <w:rPr>
          <w:rFonts w:ascii="Gill Sans MT" w:hAnsi="Gill Sans MT"/>
        </w:rPr>
        <w:t>premises that are, or form part of, a school or college where the provision of regulated entertainment</w:t>
      </w:r>
      <w:r>
        <w:rPr>
          <w:rFonts w:ascii="Gill Sans MT" w:hAnsi="Gill Sans MT"/>
          <w:spacing w:val="-37"/>
        </w:rPr>
        <w:t xml:space="preserve"> </w:t>
      </w:r>
      <w:r>
        <w:rPr>
          <w:rFonts w:ascii="Gill Sans MT" w:hAnsi="Gill Sans MT"/>
        </w:rPr>
        <w:t>is carried on by the school or college for and on behalf of its own</w:t>
      </w:r>
      <w:r>
        <w:rPr>
          <w:rFonts w:ascii="Gill Sans MT" w:hAnsi="Gill Sans MT"/>
          <w:spacing w:val="-16"/>
        </w:rPr>
        <w:t xml:space="preserve"> </w:t>
      </w:r>
      <w:r>
        <w:rPr>
          <w:rFonts w:ascii="Gill Sans MT" w:hAnsi="Gill Sans MT"/>
        </w:rPr>
        <w:t>purposes.</w:t>
      </w:r>
    </w:p>
    <w:p w14:paraId="3A47513E" w14:textId="77777777" w:rsidR="00A80206" w:rsidRDefault="00A80206" w:rsidP="00A80206">
      <w:pPr>
        <w:widowControl/>
        <w:autoSpaceDE/>
        <w:rPr>
          <w:rFonts w:ascii="Gill Sans MT" w:hAnsi="Gill Sans MT"/>
          <w:sz w:val="20"/>
        </w:rPr>
      </w:pPr>
    </w:p>
    <w:p w14:paraId="5D0486CC" w14:textId="77777777" w:rsidR="00A80206" w:rsidRDefault="00A80206" w:rsidP="00A80206">
      <w:pPr>
        <w:rPr>
          <w:rFonts w:ascii="Gill Sans MT" w:hAnsi="Gill Sans MT"/>
          <w:sz w:val="20"/>
        </w:rPr>
      </w:pPr>
    </w:p>
    <w:p w14:paraId="11B420B2" w14:textId="77777777" w:rsidR="00A80206" w:rsidRDefault="00A80206" w:rsidP="00A80206">
      <w:pPr>
        <w:rPr>
          <w:rFonts w:ascii="Gill Sans MT" w:hAnsi="Gill Sans MT"/>
          <w:sz w:val="20"/>
        </w:rPr>
      </w:pPr>
    </w:p>
    <w:p w14:paraId="4657054F" w14:textId="77777777" w:rsidR="00A80206" w:rsidRDefault="00A80206" w:rsidP="00A80206">
      <w:pPr>
        <w:rPr>
          <w:rFonts w:ascii="Gill Sans MT" w:hAnsi="Gill Sans MT"/>
          <w:sz w:val="20"/>
        </w:rPr>
      </w:pPr>
    </w:p>
    <w:p w14:paraId="13738DD4" w14:textId="60172E3E" w:rsidR="00A80206" w:rsidRDefault="009C5A79" w:rsidP="009C5A79">
      <w:pPr>
        <w:pStyle w:val="Heading2"/>
      </w:pPr>
      <w:r>
        <w:br w:type="page"/>
      </w:r>
      <w:r>
        <w:lastRenderedPageBreak/>
        <w:t xml:space="preserve">Table B.  Additional Charges </w:t>
      </w:r>
      <w:proofErr w:type="gramStart"/>
      <w:r>
        <w:t>For</w:t>
      </w:r>
      <w:proofErr w:type="gramEnd"/>
      <w:r>
        <w:t xml:space="preserve"> Exceptionally Large Events</w:t>
      </w:r>
    </w:p>
    <w:p w14:paraId="5314C798" w14:textId="77777777" w:rsidR="00A80206" w:rsidRDefault="00A80206" w:rsidP="00A80206">
      <w:pPr>
        <w:rPr>
          <w:rFonts w:ascii="Gill Sans MT" w:hAnsi="Gill Sans MT"/>
          <w:b/>
        </w:rPr>
      </w:pPr>
    </w:p>
    <w:p w14:paraId="5F39FA4B" w14:textId="77777777" w:rsidR="00A80206" w:rsidRDefault="00A80206" w:rsidP="00A80206">
      <w:pPr>
        <w:rPr>
          <w:rFonts w:ascii="Gill Sans MT" w:hAnsi="Gill Sans MT"/>
        </w:rPr>
      </w:pPr>
      <w:r>
        <w:rPr>
          <w:rFonts w:ascii="Gill Sans MT" w:hAnsi="Gill Sans MT"/>
        </w:rPr>
        <w:t>Where the number of people to be allowed on the premises at the same time is 5,000 or more, in addition to the fee specified in Table A, a supplementary fee will be charged in accordance with Table B except where the premises is a structure which is not a vehicle, vessel or moveable structure and has been constructed or altered for the purpose of the activity.</w:t>
      </w:r>
    </w:p>
    <w:p w14:paraId="4E43F48C" w14:textId="77777777" w:rsidR="00A80206" w:rsidRDefault="00A80206" w:rsidP="00A80206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798"/>
        <w:gridCol w:w="798"/>
        <w:gridCol w:w="798"/>
        <w:gridCol w:w="798"/>
        <w:gridCol w:w="866"/>
        <w:gridCol w:w="866"/>
        <w:gridCol w:w="866"/>
        <w:gridCol w:w="866"/>
        <w:gridCol w:w="866"/>
        <w:gridCol w:w="866"/>
        <w:gridCol w:w="866"/>
      </w:tblGrid>
      <w:tr w:rsidR="00A80206" w:rsidRPr="00A80206" w14:paraId="19DCD82F" w14:textId="77777777" w:rsidTr="009C5A79">
        <w:trPr>
          <w:trHeight w:val="99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20098EE1" w14:textId="77777777" w:rsidR="00A80206" w:rsidRPr="00A80206" w:rsidRDefault="00A80206">
            <w:pPr>
              <w:rPr>
                <w:rFonts w:ascii="Gill Sans MT" w:hAnsi="Gill Sans MT"/>
                <w:bCs/>
                <w:color w:val="FFFFFF" w:themeColor="background1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bCs/>
                <w:color w:val="FFFFFF" w:themeColor="background1"/>
              </w:rPr>
              <w:t>Number of Persons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166C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5,000 to 9,999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80F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10,000 to 14,999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B1E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15,000 to 19,999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E30E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20,000 to 29,999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8307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30,000 to 39,999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6F99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40,000 to 49,999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0212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50,000 to 59,999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CF0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60,000 to 69,999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936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70,000 to 79,999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DCF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80,000 to 89,999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E9F2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90,000 and over</w:t>
            </w:r>
          </w:p>
        </w:tc>
      </w:tr>
      <w:tr w:rsidR="00A80206" w:rsidRPr="00A80206" w14:paraId="588D240A" w14:textId="77777777" w:rsidTr="009C5A79">
        <w:trPr>
          <w:trHeight w:val="6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485E52DF" w14:textId="77777777" w:rsidR="00A80206" w:rsidRPr="00A80206" w:rsidRDefault="00A80206">
            <w:pPr>
              <w:rPr>
                <w:rFonts w:ascii="Gill Sans MT" w:hAnsi="Gill Sans MT"/>
                <w:bCs/>
                <w:color w:val="FFFFFF" w:themeColor="background1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bCs/>
                <w:color w:val="FFFFFF" w:themeColor="background1"/>
              </w:rPr>
              <w:t>Additional Fee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002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£1,000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D540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£2,000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E100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£4,000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471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£8,000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8BEA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7A2F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£24,000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F50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£32,000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096A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£40,000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10B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£48,000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E72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£56,000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083E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£64,000</w:t>
            </w:r>
          </w:p>
        </w:tc>
      </w:tr>
      <w:tr w:rsidR="00A80206" w:rsidRPr="00A80206" w14:paraId="79A7BFF2" w14:textId="77777777" w:rsidTr="009C5A79">
        <w:trPr>
          <w:trHeight w:val="6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39AC7497" w14:textId="77777777" w:rsidR="00A80206" w:rsidRPr="00A80206" w:rsidRDefault="00A80206">
            <w:pPr>
              <w:rPr>
                <w:rFonts w:ascii="Gill Sans MT" w:hAnsi="Gill Sans MT"/>
                <w:bCs/>
                <w:color w:val="FFFFFF" w:themeColor="background1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bCs/>
                <w:color w:val="FFFFFF" w:themeColor="background1"/>
              </w:rPr>
              <w:t>Annual Fee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A058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£500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217D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£1,000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AA3A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£2,000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4989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£4,000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FE22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£8,000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57BC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£12,000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AB07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FC50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81EC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£24,000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1420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£28,000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DDDA" w14:textId="77777777" w:rsidR="00A80206" w:rsidRPr="00A80206" w:rsidRDefault="00A80206">
            <w:pPr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£32,000</w:t>
            </w:r>
          </w:p>
        </w:tc>
      </w:tr>
    </w:tbl>
    <w:p w14:paraId="337B9941" w14:textId="77777777" w:rsidR="00A80206" w:rsidRDefault="00A80206" w:rsidP="00A80206">
      <w:pPr>
        <w:rPr>
          <w:rFonts w:ascii="Gill Sans MT" w:hAnsi="Gill Sans MT"/>
        </w:rPr>
      </w:pPr>
    </w:p>
    <w:p w14:paraId="27B333A6" w14:textId="77777777" w:rsidR="00A80206" w:rsidRPr="009C5A79" w:rsidRDefault="00A80206" w:rsidP="00A80206">
      <w:pPr>
        <w:rPr>
          <w:rFonts w:ascii="Gill Sans MT" w:hAnsi="Gill Sans MT"/>
          <w:sz w:val="12"/>
          <w:szCs w:val="12"/>
        </w:rPr>
      </w:pPr>
    </w:p>
    <w:p w14:paraId="1247CD75" w14:textId="1C3118C3" w:rsidR="00A80206" w:rsidRPr="00A80206" w:rsidRDefault="009C5A79" w:rsidP="009C5A79">
      <w:pPr>
        <w:pStyle w:val="Heading2"/>
      </w:pPr>
      <w:r w:rsidRPr="00A80206">
        <w:t>Personal Licences</w:t>
      </w:r>
    </w:p>
    <w:p w14:paraId="67A1CD54" w14:textId="77777777" w:rsidR="00A80206" w:rsidRPr="00A80206" w:rsidRDefault="00A80206" w:rsidP="009C5A79">
      <w:pPr>
        <w:rPr>
          <w:b/>
          <w:bCs/>
        </w:rPr>
      </w:pPr>
      <w:r w:rsidRPr="00A80206">
        <w:t>The fee for an application in respect of a Personal Licence is £37.</w:t>
      </w:r>
    </w:p>
    <w:p w14:paraId="454F08D3" w14:textId="77777777" w:rsidR="00A80206" w:rsidRPr="00A80206" w:rsidRDefault="00A80206" w:rsidP="009C5A79">
      <w:pPr>
        <w:pStyle w:val="Heading2"/>
      </w:pPr>
    </w:p>
    <w:p w14:paraId="0412636B" w14:textId="7DE42EF8" w:rsidR="00A80206" w:rsidRPr="00A80206" w:rsidRDefault="009C5A79" w:rsidP="009C5A79">
      <w:pPr>
        <w:pStyle w:val="Heading2"/>
      </w:pPr>
      <w:r w:rsidRPr="00A80206">
        <w:t xml:space="preserve">Temporary Event Notices </w:t>
      </w:r>
    </w:p>
    <w:p w14:paraId="507CAE67" w14:textId="77777777" w:rsidR="00A80206" w:rsidRPr="00A80206" w:rsidRDefault="00A80206" w:rsidP="009C5A79">
      <w:pPr>
        <w:rPr>
          <w:b/>
          <w:bCs/>
        </w:rPr>
      </w:pPr>
      <w:r w:rsidRPr="00A80206">
        <w:t>The fee for an application in respect of a Temporary Event Notice is £21.</w:t>
      </w:r>
    </w:p>
    <w:p w14:paraId="5A3B778A" w14:textId="77777777" w:rsidR="00A80206" w:rsidRPr="00A80206" w:rsidRDefault="00A80206" w:rsidP="009C5A79">
      <w:pPr>
        <w:pStyle w:val="Heading2"/>
      </w:pPr>
    </w:p>
    <w:p w14:paraId="3665C5F8" w14:textId="2807C4FD" w:rsidR="00A80206" w:rsidRPr="00A80206" w:rsidRDefault="009C5A79" w:rsidP="009C5A79">
      <w:pPr>
        <w:pStyle w:val="Heading2"/>
      </w:pPr>
      <w:r w:rsidRPr="00A80206">
        <w:t>Miscellaneous Charges</w:t>
      </w:r>
    </w:p>
    <w:p w14:paraId="05223D57" w14:textId="77777777" w:rsidR="009C5A79" w:rsidRDefault="00A80206" w:rsidP="00A80206">
      <w:pPr>
        <w:rPr>
          <w:rFonts w:ascii="Gill Sans MT" w:hAnsi="Gill Sans MT"/>
        </w:rPr>
      </w:pPr>
      <w:r w:rsidRPr="00A80206">
        <w:rPr>
          <w:rFonts w:ascii="Gill Sans MT" w:hAnsi="Gill Sans MT"/>
        </w:rPr>
        <w:t>There are other occasions that fees must be paid to the Licensing Authority.</w:t>
      </w:r>
    </w:p>
    <w:p w14:paraId="796896F4" w14:textId="146516A4" w:rsidR="00A80206" w:rsidRPr="00A80206" w:rsidRDefault="00A80206" w:rsidP="00A80206">
      <w:pPr>
        <w:rPr>
          <w:rFonts w:ascii="Gill Sans MT" w:hAnsi="Gill Sans MT" w:cs="Times New Roman"/>
        </w:rPr>
      </w:pPr>
      <w:r w:rsidRPr="00A80206">
        <w:rPr>
          <w:rFonts w:ascii="Gill Sans MT" w:hAnsi="Gill Sans MT"/>
        </w:rPr>
        <w:tab/>
      </w:r>
    </w:p>
    <w:p w14:paraId="3C740301" w14:textId="77777777" w:rsidR="00A80206" w:rsidRDefault="00A80206" w:rsidP="00A80206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6"/>
        <w:gridCol w:w="1044"/>
      </w:tblGrid>
      <w:tr w:rsidR="00A80206" w:rsidRPr="00A80206" w14:paraId="713F2FAB" w14:textId="77777777" w:rsidTr="00DE4C48">
        <w:trPr>
          <w:trHeight w:val="343"/>
          <w:tblHeader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49A41AA6" w14:textId="77777777" w:rsidR="00A80206" w:rsidRPr="00A80206" w:rsidRDefault="00A80206" w:rsidP="009C5A79">
            <w:pPr>
              <w:rPr>
                <w:b/>
              </w:rPr>
            </w:pPr>
            <w:r w:rsidRPr="009C5A79">
              <w:rPr>
                <w:rFonts w:ascii="Gill Sans MT" w:hAnsi="Gill Sans MT"/>
                <w:bCs/>
                <w:color w:val="FFFFFF" w:themeColor="background1"/>
              </w:rPr>
              <w:t>Application or Notice Type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AC"/>
            <w:hideMark/>
          </w:tcPr>
          <w:p w14:paraId="379F319D" w14:textId="77777777" w:rsidR="00A80206" w:rsidRPr="00A80206" w:rsidRDefault="00A80206">
            <w:pPr>
              <w:rPr>
                <w:rFonts w:ascii="Gill Sans MT" w:hAnsi="Gill Sans MT"/>
                <w:bCs/>
                <w:color w:val="FFFFFF" w:themeColor="background1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bCs/>
                <w:color w:val="FFFFFF" w:themeColor="background1"/>
              </w:rPr>
              <w:t>Fee</w:t>
            </w:r>
          </w:p>
        </w:tc>
      </w:tr>
      <w:tr w:rsidR="00A80206" w:rsidRPr="00A80206" w14:paraId="070D6596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B8F2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Theft, loss, etc. of premises licence or summary (sect. 25)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F46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7CD83590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E736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Application for a provisional statement where premises being built, etc. (sect. 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D389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£315.00</w:t>
            </w:r>
          </w:p>
        </w:tc>
      </w:tr>
      <w:tr w:rsidR="00A80206" w:rsidRPr="00A80206" w14:paraId="1ED88A12" w14:textId="77777777" w:rsidTr="00DE4C48">
        <w:trPr>
          <w:trHeight w:val="469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CCD4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 xml:space="preserve">Notification of change of name or </w:t>
            </w:r>
            <w:proofErr w:type="gramStart"/>
            <w:r w:rsidRPr="00A80206">
              <w:rPr>
                <w:rFonts w:ascii="Gill Sans MT" w:hAnsi="Gill Sans MT"/>
                <w:sz w:val="20"/>
              </w:rPr>
              <w:t>address  (</w:t>
            </w:r>
            <w:proofErr w:type="gramEnd"/>
            <w:r w:rsidRPr="00A80206">
              <w:rPr>
                <w:rFonts w:ascii="Gill Sans MT" w:hAnsi="Gill Sans MT"/>
                <w:sz w:val="20"/>
              </w:rPr>
              <w:t>sect. 33)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89B4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74A0166D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998C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Application to vary licence to specify individual as premises supervisor (sect. 27)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4DD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£23.00</w:t>
            </w:r>
          </w:p>
        </w:tc>
      </w:tr>
      <w:tr w:rsidR="00A80206" w:rsidRPr="00A80206" w14:paraId="6704B88E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320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Application for transfer of premises licence (sect. 42)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274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£23.00</w:t>
            </w:r>
          </w:p>
        </w:tc>
      </w:tr>
      <w:tr w:rsidR="00A80206" w:rsidRPr="00A80206" w14:paraId="22953E27" w14:textId="77777777" w:rsidTr="00DE4C48">
        <w:trPr>
          <w:trHeight w:val="469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8B6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Interim authority notice following death etc. of licence holder (sect. 47)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1E3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£23.00</w:t>
            </w:r>
          </w:p>
        </w:tc>
      </w:tr>
      <w:tr w:rsidR="00A80206" w:rsidRPr="00A80206" w14:paraId="200A3BD5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2C18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Theft, loss etc of certificate or summary (sect. 79)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6AF6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092FB8BC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1366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Notification of change of name or alteration of rules of club (sect. 82)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2A9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63ACF3D3" w14:textId="77777777" w:rsidTr="00DE4C48">
        <w:trPr>
          <w:trHeight w:val="469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C7E3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Change of relevant registered address of club (sect 83 (1) or (2))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CCC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7627B057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DE0F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Theft, loss, etc., of temporary event notice (sect. 110)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E1AE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7B94C6B3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B87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Theft, loss etc. of personal licence (sect. 126)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690C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1800FF2D" w14:textId="77777777" w:rsidTr="00DE4C48">
        <w:trPr>
          <w:trHeight w:val="469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BCF6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Duty to notify change of name or address (sect 127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EDA0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£10.50</w:t>
            </w:r>
          </w:p>
        </w:tc>
      </w:tr>
      <w:tr w:rsidR="00A80206" w:rsidRPr="00A80206" w14:paraId="68E4C9A0" w14:textId="77777777" w:rsidTr="00DE4C48">
        <w:trPr>
          <w:trHeight w:val="451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121F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Right of freeholder etc. to be to be notified on licensing matters (sect 178)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8FB" w14:textId="77777777" w:rsidR="00A80206" w:rsidRPr="00A80206" w:rsidRDefault="00A80206">
            <w:pPr>
              <w:spacing w:line="360" w:lineRule="auto"/>
              <w:rPr>
                <w:rFonts w:ascii="Gill Sans MT" w:hAnsi="Gill Sans MT"/>
                <w:sz w:val="20"/>
                <w:szCs w:val="24"/>
                <w:lang w:eastAsia="en-US"/>
              </w:rPr>
            </w:pPr>
            <w:r w:rsidRPr="00A80206">
              <w:rPr>
                <w:rFonts w:ascii="Gill Sans MT" w:hAnsi="Gill Sans MT"/>
                <w:sz w:val="20"/>
              </w:rPr>
              <w:t>£21.00</w:t>
            </w:r>
          </w:p>
        </w:tc>
      </w:tr>
    </w:tbl>
    <w:p w14:paraId="2C17F42A" w14:textId="77777777" w:rsidR="00A80206" w:rsidRDefault="00A80206" w:rsidP="009C5A79">
      <w:pPr>
        <w:pStyle w:val="BodyText2"/>
        <w:spacing w:after="0"/>
        <w:rPr>
          <w:rFonts w:ascii="Gill Sans MT" w:hAnsi="Gill Sans MT"/>
          <w:sz w:val="20"/>
          <w:szCs w:val="20"/>
        </w:rPr>
      </w:pPr>
    </w:p>
    <w:p w14:paraId="2DFEBE75" w14:textId="07A351D7" w:rsidR="00A80206" w:rsidRDefault="009C5A79" w:rsidP="009C5A79">
      <w:pPr>
        <w:pStyle w:val="Heading2"/>
        <w:rPr>
          <w:lang w:val="en-US"/>
        </w:rPr>
      </w:pPr>
      <w:r>
        <w:rPr>
          <w:lang w:val="en-US"/>
        </w:rPr>
        <w:t>Annual Fees</w:t>
      </w:r>
    </w:p>
    <w:p w14:paraId="1F876BEA" w14:textId="77777777" w:rsidR="009C5A79" w:rsidRPr="009C5A79" w:rsidRDefault="009C5A79" w:rsidP="009C5A79">
      <w:pPr>
        <w:rPr>
          <w:lang w:val="en-US" w:eastAsia="en-US" w:bidi="ar-SA"/>
        </w:rPr>
      </w:pPr>
    </w:p>
    <w:p w14:paraId="68F02A07" w14:textId="532B8EB8" w:rsidR="00E332C0" w:rsidRPr="009C5A79" w:rsidRDefault="00A80206" w:rsidP="009C5A79">
      <w:pPr>
        <w:keepNext/>
        <w:rPr>
          <w:rFonts w:ascii="Gill Sans MT" w:hAnsi="Gill Sans MT"/>
        </w:rPr>
      </w:pPr>
      <w:r>
        <w:rPr>
          <w:rFonts w:ascii="Gill Sans MT" w:hAnsi="Gill Sans MT"/>
        </w:rPr>
        <w:t>An annual fee is payable on the anniversary of the grant date of the Premises Licence</w:t>
      </w:r>
      <w:r w:rsidR="003D58F7">
        <w:rPr>
          <w:rFonts w:ascii="Gill Sans MT" w:hAnsi="Gill Sans MT"/>
        </w:rPr>
        <w:t xml:space="preserve"> or Club Premises Certificate</w:t>
      </w:r>
      <w:r>
        <w:rPr>
          <w:rFonts w:ascii="Gill Sans MT" w:hAnsi="Gill Sans MT"/>
        </w:rPr>
        <w:t>. Cotswold District Council will send the licence holder an invoice when this fee is due.</w:t>
      </w:r>
    </w:p>
    <w:sectPr w:rsidR="00E332C0" w:rsidRPr="009C5A79" w:rsidSect="00A80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93509"/>
    <w:multiLevelType w:val="hybridMultilevel"/>
    <w:tmpl w:val="C77C8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C55F5"/>
    <w:multiLevelType w:val="hybridMultilevel"/>
    <w:tmpl w:val="9C18CF14"/>
    <w:lvl w:ilvl="0" w:tplc="A8CAB794">
      <w:start w:val="1"/>
      <w:numFmt w:val="lowerRoman"/>
      <w:lvlText w:val="%1)"/>
      <w:lvlJc w:val="left"/>
      <w:pPr>
        <w:ind w:left="948" w:hanging="721"/>
      </w:pPr>
      <w:rPr>
        <w:rFonts w:ascii="Arial" w:eastAsia="Arial" w:hAnsi="Arial" w:cs="Arial" w:hint="default"/>
        <w:spacing w:val="-2"/>
        <w:w w:val="99"/>
        <w:sz w:val="20"/>
        <w:szCs w:val="20"/>
        <w:lang w:val="en-GB" w:eastAsia="en-GB" w:bidi="en-GB"/>
      </w:rPr>
    </w:lvl>
    <w:lvl w:ilvl="1" w:tplc="4902278A">
      <w:start w:val="1"/>
      <w:numFmt w:val="lowerRoman"/>
      <w:lvlText w:val="%2)"/>
      <w:lvlJc w:val="left"/>
      <w:pPr>
        <w:ind w:left="516" w:hanging="185"/>
      </w:pPr>
      <w:rPr>
        <w:rFonts w:ascii="Arial" w:eastAsia="Arial" w:hAnsi="Arial" w:cs="Arial" w:hint="default"/>
        <w:spacing w:val="-2"/>
        <w:w w:val="100"/>
        <w:sz w:val="22"/>
        <w:szCs w:val="22"/>
        <w:lang w:val="en-GB" w:eastAsia="en-GB" w:bidi="en-GB"/>
      </w:rPr>
    </w:lvl>
    <w:lvl w:ilvl="2" w:tplc="4ADADCBE">
      <w:numFmt w:val="bullet"/>
      <w:lvlText w:val="•"/>
      <w:lvlJc w:val="left"/>
      <w:pPr>
        <w:ind w:left="2011" w:hanging="185"/>
      </w:pPr>
      <w:rPr>
        <w:lang w:val="en-GB" w:eastAsia="en-GB" w:bidi="en-GB"/>
      </w:rPr>
    </w:lvl>
    <w:lvl w:ilvl="3" w:tplc="E58CAE70">
      <w:numFmt w:val="bullet"/>
      <w:lvlText w:val="•"/>
      <w:lvlJc w:val="left"/>
      <w:pPr>
        <w:ind w:left="3083" w:hanging="185"/>
      </w:pPr>
      <w:rPr>
        <w:lang w:val="en-GB" w:eastAsia="en-GB" w:bidi="en-GB"/>
      </w:rPr>
    </w:lvl>
    <w:lvl w:ilvl="4" w:tplc="7308654E">
      <w:numFmt w:val="bullet"/>
      <w:lvlText w:val="•"/>
      <w:lvlJc w:val="left"/>
      <w:pPr>
        <w:ind w:left="4155" w:hanging="185"/>
      </w:pPr>
      <w:rPr>
        <w:lang w:val="en-GB" w:eastAsia="en-GB" w:bidi="en-GB"/>
      </w:rPr>
    </w:lvl>
    <w:lvl w:ilvl="5" w:tplc="F05C8F38">
      <w:numFmt w:val="bullet"/>
      <w:lvlText w:val="•"/>
      <w:lvlJc w:val="left"/>
      <w:pPr>
        <w:ind w:left="5227" w:hanging="185"/>
      </w:pPr>
      <w:rPr>
        <w:lang w:val="en-GB" w:eastAsia="en-GB" w:bidi="en-GB"/>
      </w:rPr>
    </w:lvl>
    <w:lvl w:ilvl="6" w:tplc="C1B826CA">
      <w:numFmt w:val="bullet"/>
      <w:lvlText w:val="•"/>
      <w:lvlJc w:val="left"/>
      <w:pPr>
        <w:ind w:left="6299" w:hanging="185"/>
      </w:pPr>
      <w:rPr>
        <w:lang w:val="en-GB" w:eastAsia="en-GB" w:bidi="en-GB"/>
      </w:rPr>
    </w:lvl>
    <w:lvl w:ilvl="7" w:tplc="848210A6">
      <w:numFmt w:val="bullet"/>
      <w:lvlText w:val="•"/>
      <w:lvlJc w:val="left"/>
      <w:pPr>
        <w:ind w:left="7370" w:hanging="185"/>
      </w:pPr>
      <w:rPr>
        <w:lang w:val="en-GB" w:eastAsia="en-GB" w:bidi="en-GB"/>
      </w:rPr>
    </w:lvl>
    <w:lvl w:ilvl="8" w:tplc="FDB83590">
      <w:numFmt w:val="bullet"/>
      <w:lvlText w:val="•"/>
      <w:lvlJc w:val="left"/>
      <w:pPr>
        <w:ind w:left="8442" w:hanging="185"/>
      </w:pPr>
      <w:rPr>
        <w:lang w:val="en-GB" w:eastAsia="en-GB" w:bidi="en-GB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6"/>
    <w:rsid w:val="001801ED"/>
    <w:rsid w:val="001F5726"/>
    <w:rsid w:val="00305F2B"/>
    <w:rsid w:val="003D58F7"/>
    <w:rsid w:val="00515217"/>
    <w:rsid w:val="008A4395"/>
    <w:rsid w:val="009C5A79"/>
    <w:rsid w:val="00A1143A"/>
    <w:rsid w:val="00A80206"/>
    <w:rsid w:val="00DE4C48"/>
    <w:rsid w:val="00E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65C1"/>
  <w15:docId w15:val="{ED7D2ADA-247D-4E65-9695-3B71DFC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5A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9C5A79"/>
    <w:pPr>
      <w:jc w:val="left"/>
      <w:outlineLvl w:val="0"/>
    </w:pPr>
    <w:rPr>
      <w:rFonts w:ascii="Gill Sans MT" w:hAnsi="Gill Sans MT"/>
      <w:color w:val="0067AC"/>
      <w:sz w:val="28"/>
    </w:rPr>
  </w:style>
  <w:style w:type="paragraph" w:styleId="Heading2">
    <w:name w:val="heading 2"/>
    <w:basedOn w:val="Subtitle"/>
    <w:next w:val="Normal"/>
    <w:link w:val="Heading2Char"/>
    <w:qFormat/>
    <w:rsid w:val="009C5A79"/>
    <w:pPr>
      <w:outlineLvl w:val="1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A8020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80206"/>
    <w:rPr>
      <w:rFonts w:ascii="Arial" w:eastAsia="Arial" w:hAnsi="Arial" w:cs="Arial"/>
      <w:sz w:val="20"/>
      <w:szCs w:val="20"/>
      <w:lang w:eastAsia="en-GB" w:bidi="en-GB"/>
    </w:rPr>
  </w:style>
  <w:style w:type="paragraph" w:styleId="Subtitle">
    <w:name w:val="Subtitle"/>
    <w:basedOn w:val="Normal"/>
    <w:link w:val="SubtitleChar"/>
    <w:qFormat/>
    <w:rsid w:val="00A80206"/>
    <w:pPr>
      <w:widowControl/>
      <w:autoSpaceDE/>
      <w:autoSpaceDN/>
    </w:pPr>
    <w:rPr>
      <w:rFonts w:eastAsia="Times New Roman" w:cs="Times New Roman"/>
      <w:b/>
      <w:bCs/>
      <w:sz w:val="24"/>
      <w:szCs w:val="24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A80206"/>
    <w:rPr>
      <w:rFonts w:ascii="Arial" w:eastAsia="Times New Roman" w:hAnsi="Arial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0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0206"/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A80206"/>
    <w:pPr>
      <w:ind w:left="228"/>
    </w:pPr>
  </w:style>
  <w:style w:type="character" w:customStyle="1" w:styleId="Heading2Char">
    <w:name w:val="Heading 2 Char"/>
    <w:basedOn w:val="DefaultParagraphFont"/>
    <w:link w:val="Heading2"/>
    <w:rsid w:val="009C5A79"/>
    <w:rPr>
      <w:rFonts w:ascii="Gill Sans MT" w:eastAsia="Times New Roman" w:hAnsi="Gill Sans MT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0206"/>
    <w:pPr>
      <w:widowControl/>
      <w:autoSpaceDE/>
      <w:autoSpaceDN/>
      <w:jc w:val="center"/>
    </w:pPr>
    <w:rPr>
      <w:rFonts w:eastAsia="Times New Roman" w:cs="Times New Roman"/>
      <w:b/>
      <w:bCs/>
      <w:sz w:val="24"/>
      <w:szCs w:val="24"/>
      <w:lang w:eastAsia="en-US" w:bidi="ar-SA"/>
    </w:rPr>
  </w:style>
  <w:style w:type="character" w:customStyle="1" w:styleId="TitleChar">
    <w:name w:val="Title Char"/>
    <w:basedOn w:val="DefaultParagraphFont"/>
    <w:link w:val="Title"/>
    <w:rsid w:val="00A8020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A79"/>
    <w:rPr>
      <w:rFonts w:ascii="Gill Sans MT" w:eastAsia="Times New Roman" w:hAnsi="Gill Sans MT" w:cs="Times New Roman"/>
      <w:b/>
      <w:bCs/>
      <w:color w:val="0067AC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681</Words>
  <Characters>3359</Characters>
  <Application>Microsoft Office Word</Application>
  <DocSecurity>0</DocSecurity>
  <Lines>209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structure for premises licences &amp; club premises certificates</dc:title>
  <dc:creator>Cotswold District Council</dc:creator>
  <cp:lastModifiedBy>Joe Passi</cp:lastModifiedBy>
  <cp:revision>7</cp:revision>
  <dcterms:created xsi:type="dcterms:W3CDTF">2020-02-12T11:36:00Z</dcterms:created>
  <dcterms:modified xsi:type="dcterms:W3CDTF">2021-02-19T13:52:00Z</dcterms:modified>
</cp:coreProperties>
</file>